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28" w:rsidRDefault="005F6928" w:rsidP="00E9462E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5F6928" w:rsidRDefault="005F6928" w:rsidP="00E9462E">
      <w:pPr>
        <w:rPr>
          <w:rFonts w:asciiTheme="minorHAnsi" w:hAnsiTheme="minorHAnsi" w:cstheme="minorHAnsi"/>
          <w:b/>
          <w:sz w:val="28"/>
          <w:szCs w:val="28"/>
        </w:rPr>
      </w:pPr>
    </w:p>
    <w:p w:rsidR="00E9462E" w:rsidRPr="00B105EF" w:rsidRDefault="00361147" w:rsidP="00E9462E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Bijscholing </w:t>
      </w:r>
      <w:r w:rsidR="00E9462E" w:rsidRPr="00B105EF">
        <w:rPr>
          <w:rFonts w:asciiTheme="minorHAnsi" w:hAnsiTheme="minorHAnsi" w:cstheme="minorHAnsi"/>
          <w:b/>
          <w:szCs w:val="22"/>
        </w:rPr>
        <w:t>inschatting kans gewelddadig extremisme met VERA-2R</w:t>
      </w:r>
    </w:p>
    <w:p w:rsidR="00E9462E" w:rsidRPr="00B105EF" w:rsidRDefault="00E9462E" w:rsidP="00E9462E">
      <w:pPr>
        <w:rPr>
          <w:rFonts w:asciiTheme="minorHAnsi" w:hAnsiTheme="minorHAnsi" w:cstheme="minorHAnsi"/>
          <w:b/>
          <w:szCs w:val="22"/>
        </w:rPr>
      </w:pPr>
      <w:r w:rsidRPr="00B105EF">
        <w:rPr>
          <w:rFonts w:asciiTheme="minorHAnsi" w:hAnsiTheme="minorHAnsi" w:cstheme="minorHAnsi"/>
          <w:b/>
          <w:szCs w:val="22"/>
        </w:rPr>
        <w:t xml:space="preserve">Datum: </w:t>
      </w:r>
      <w:r w:rsidR="005F6928">
        <w:rPr>
          <w:rFonts w:asciiTheme="minorHAnsi" w:hAnsiTheme="minorHAnsi" w:cstheme="minorHAnsi"/>
          <w:b/>
          <w:szCs w:val="22"/>
        </w:rPr>
        <w:t>24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5F6928">
        <w:rPr>
          <w:rFonts w:asciiTheme="minorHAnsi" w:hAnsiTheme="minorHAnsi" w:cstheme="minorHAnsi"/>
          <w:b/>
          <w:szCs w:val="22"/>
        </w:rPr>
        <w:t xml:space="preserve">april </w:t>
      </w:r>
      <w:r w:rsidRPr="00B105EF">
        <w:rPr>
          <w:rFonts w:asciiTheme="minorHAnsi" w:hAnsiTheme="minorHAnsi" w:cstheme="minorHAnsi"/>
          <w:b/>
          <w:szCs w:val="22"/>
        </w:rPr>
        <w:t>201</w:t>
      </w:r>
      <w:r w:rsidR="005F6928">
        <w:rPr>
          <w:rFonts w:asciiTheme="minorHAnsi" w:hAnsiTheme="minorHAnsi" w:cstheme="minorHAnsi"/>
          <w:b/>
          <w:szCs w:val="22"/>
        </w:rPr>
        <w:t>8</w:t>
      </w:r>
      <w:r w:rsidR="00F21DD6">
        <w:rPr>
          <w:rFonts w:asciiTheme="minorHAnsi" w:hAnsiTheme="minorHAnsi" w:cstheme="minorHAnsi"/>
          <w:b/>
          <w:szCs w:val="22"/>
        </w:rPr>
        <w:t xml:space="preserve"> </w:t>
      </w:r>
      <w:r w:rsidRPr="00B105EF">
        <w:rPr>
          <w:rFonts w:asciiTheme="minorHAnsi" w:hAnsiTheme="minorHAnsi" w:cstheme="minorHAnsi"/>
          <w:b/>
          <w:szCs w:val="22"/>
        </w:rPr>
        <w:t>Locatie: Herman Gorterstraat 5 3511 EW UTRECHT</w:t>
      </w:r>
    </w:p>
    <w:p w:rsidR="00E9462E" w:rsidRPr="00B105EF" w:rsidRDefault="00E9462E" w:rsidP="00E9462E">
      <w:pPr>
        <w:rPr>
          <w:rFonts w:asciiTheme="minorHAnsi" w:hAnsiTheme="minorHAnsi" w:cstheme="minorHAnsi"/>
          <w:b/>
          <w:szCs w:val="22"/>
        </w:rPr>
      </w:pPr>
    </w:p>
    <w:p w:rsidR="00E9462E" w:rsidRDefault="00E9462E" w:rsidP="00E9462E">
      <w:pPr>
        <w:rPr>
          <w:rFonts w:asciiTheme="minorHAnsi" w:hAnsiTheme="minorHAnsi" w:cstheme="minorHAnsi"/>
          <w:b/>
          <w:caps/>
          <w:szCs w:val="22"/>
        </w:rPr>
      </w:pPr>
      <w:r w:rsidRPr="00B105EF">
        <w:rPr>
          <w:rFonts w:asciiTheme="minorHAnsi" w:hAnsiTheme="minorHAnsi" w:cstheme="minorHAnsi"/>
          <w:b/>
          <w:caps/>
          <w:szCs w:val="22"/>
        </w:rPr>
        <w:t xml:space="preserve">Inhoud programma: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1826"/>
        <w:gridCol w:w="4524"/>
        <w:gridCol w:w="1964"/>
      </w:tblGrid>
      <w:tr w:rsidR="007D1E89" w:rsidRPr="00B105EF" w:rsidTr="000962B0">
        <w:trPr>
          <w:trHeight w:val="469"/>
        </w:trPr>
        <w:tc>
          <w:tcPr>
            <w:tcW w:w="525" w:type="pct"/>
          </w:tcPr>
          <w:p w:rsidR="007D1E89" w:rsidRPr="00B105EF" w:rsidRDefault="007D1E89" w:rsidP="00845ACA">
            <w:pPr>
              <w:spacing w:line="240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B105EF">
              <w:rPr>
                <w:rFonts w:asciiTheme="minorHAnsi" w:hAnsiTheme="minorHAnsi" w:cstheme="minorHAnsi"/>
                <w:b/>
                <w:szCs w:val="22"/>
                <w:lang w:eastAsia="en-US"/>
              </w:rPr>
              <w:t>Tijd</w:t>
            </w:r>
          </w:p>
        </w:tc>
        <w:tc>
          <w:tcPr>
            <w:tcW w:w="983" w:type="pct"/>
          </w:tcPr>
          <w:p w:rsidR="007D1E89" w:rsidRPr="00B105EF" w:rsidRDefault="007D1E89" w:rsidP="00845ACA">
            <w:pPr>
              <w:spacing w:line="240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B105EF">
              <w:rPr>
                <w:rFonts w:asciiTheme="minorHAnsi" w:hAnsiTheme="minorHAnsi" w:cstheme="minorHAnsi"/>
                <w:b/>
                <w:szCs w:val="22"/>
                <w:lang w:eastAsia="en-US"/>
              </w:rPr>
              <w:t>Activiteit</w:t>
            </w:r>
          </w:p>
        </w:tc>
        <w:tc>
          <w:tcPr>
            <w:tcW w:w="2435" w:type="pct"/>
          </w:tcPr>
          <w:p w:rsidR="007D1E89" w:rsidRPr="00B105EF" w:rsidRDefault="007D1E89" w:rsidP="00845ACA">
            <w:pPr>
              <w:spacing w:line="240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en-US"/>
              </w:rPr>
              <w:t>Inhoud</w:t>
            </w:r>
          </w:p>
        </w:tc>
        <w:tc>
          <w:tcPr>
            <w:tcW w:w="1057" w:type="pct"/>
          </w:tcPr>
          <w:p w:rsidR="007D1E89" w:rsidRPr="00B105EF" w:rsidRDefault="007D1E89" w:rsidP="00845ACA">
            <w:pPr>
              <w:spacing w:line="240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B105EF">
              <w:rPr>
                <w:rFonts w:asciiTheme="minorHAnsi" w:hAnsiTheme="minorHAnsi" w:cstheme="minorHAnsi"/>
                <w:b/>
                <w:szCs w:val="22"/>
                <w:lang w:eastAsia="en-US"/>
              </w:rPr>
              <w:t>Spreker</w:t>
            </w:r>
          </w:p>
        </w:tc>
      </w:tr>
      <w:tr w:rsidR="007D1E89" w:rsidRPr="00B105EF" w:rsidTr="000962B0">
        <w:trPr>
          <w:trHeight w:val="342"/>
        </w:trPr>
        <w:tc>
          <w:tcPr>
            <w:tcW w:w="525" w:type="pct"/>
          </w:tcPr>
          <w:p w:rsidR="007D1E89" w:rsidRPr="00817ADE" w:rsidRDefault="007D1E89" w:rsidP="000962B0">
            <w:pPr>
              <w:spacing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  <w:r w:rsidRPr="00817ADE">
              <w:rPr>
                <w:rFonts w:asciiTheme="minorHAnsi" w:hAnsiTheme="minorHAnsi" w:cstheme="minorHAnsi"/>
                <w:szCs w:val="22"/>
                <w:lang w:eastAsia="en-US"/>
              </w:rPr>
              <w:t>.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30</w:t>
            </w:r>
          </w:p>
        </w:tc>
        <w:tc>
          <w:tcPr>
            <w:tcW w:w="983" w:type="pct"/>
          </w:tcPr>
          <w:p w:rsidR="007D1E89" w:rsidRPr="00817ADE" w:rsidRDefault="007D1E89" w:rsidP="00845ACA">
            <w:pPr>
              <w:spacing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817ADE">
              <w:rPr>
                <w:rFonts w:asciiTheme="minorHAnsi" w:hAnsiTheme="minorHAnsi" w:cstheme="minorHAnsi"/>
                <w:szCs w:val="22"/>
                <w:lang w:eastAsia="en-US"/>
              </w:rPr>
              <w:t xml:space="preserve">Welkom </w:t>
            </w:r>
          </w:p>
        </w:tc>
        <w:tc>
          <w:tcPr>
            <w:tcW w:w="2435" w:type="pct"/>
          </w:tcPr>
          <w:p w:rsidR="007D1E89" w:rsidRPr="00B105EF" w:rsidRDefault="007D1E89" w:rsidP="00845ACA">
            <w:pPr>
              <w:spacing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057" w:type="pct"/>
            <w:vMerge w:val="restart"/>
          </w:tcPr>
          <w:p w:rsidR="007D1E89" w:rsidRDefault="007D1E89" w:rsidP="00845ACA">
            <w:pPr>
              <w:spacing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B105EF">
              <w:rPr>
                <w:rFonts w:asciiTheme="minorHAnsi" w:hAnsiTheme="minorHAnsi" w:cstheme="minorHAnsi"/>
                <w:szCs w:val="22"/>
                <w:lang w:eastAsia="en-US"/>
              </w:rPr>
              <w:t>Nils Duits</w:t>
            </w:r>
          </w:p>
          <w:p w:rsidR="007D1E89" w:rsidRPr="00B105EF" w:rsidRDefault="007D1E89" w:rsidP="00845ACA">
            <w:pPr>
              <w:spacing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Maarten van Leyenhorst</w:t>
            </w:r>
          </w:p>
        </w:tc>
      </w:tr>
      <w:tr w:rsidR="007D1E89" w:rsidRPr="00817ADE" w:rsidTr="000962B0">
        <w:trPr>
          <w:trHeight w:val="57"/>
        </w:trPr>
        <w:tc>
          <w:tcPr>
            <w:tcW w:w="525" w:type="pct"/>
          </w:tcPr>
          <w:p w:rsidR="007D1E89" w:rsidRPr="00817ADE" w:rsidRDefault="007D1E89" w:rsidP="00845ACA">
            <w:pPr>
              <w:spacing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  <w:r w:rsidRPr="00817ADE">
              <w:rPr>
                <w:rFonts w:asciiTheme="minorHAnsi" w:hAnsiTheme="minorHAnsi" w:cstheme="minorHAnsi"/>
                <w:szCs w:val="22"/>
                <w:lang w:eastAsia="en-US"/>
              </w:rPr>
              <w:t>.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45 </w:t>
            </w:r>
          </w:p>
          <w:p w:rsidR="007D1E89" w:rsidRPr="00817ADE" w:rsidRDefault="007D1E89" w:rsidP="00845ACA">
            <w:pPr>
              <w:spacing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983" w:type="pct"/>
          </w:tcPr>
          <w:p w:rsidR="007D1E89" w:rsidRPr="00817ADE" w:rsidRDefault="007D1E89" w:rsidP="00845ACA">
            <w:pPr>
              <w:spacing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Introductie </w:t>
            </w:r>
          </w:p>
          <w:p w:rsidR="007D1E89" w:rsidRPr="00817ADE" w:rsidRDefault="007D1E89" w:rsidP="00845ACA">
            <w:pPr>
              <w:spacing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2435" w:type="pct"/>
          </w:tcPr>
          <w:p w:rsidR="007D1E89" w:rsidRDefault="007D1E89" w:rsidP="00845ACA">
            <w:pPr>
              <w:spacing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Doel: Evaluatie gebruik VERA-2R </w:t>
            </w:r>
          </w:p>
          <w:p w:rsidR="007D1E89" w:rsidRDefault="007D1E89" w:rsidP="00845ACA">
            <w:pPr>
              <w:spacing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Inhoud: stand van zaken nagaan</w:t>
            </w:r>
          </w:p>
          <w:p w:rsidR="007D1E89" w:rsidRDefault="007D1E89" w:rsidP="000962B0">
            <w:pPr>
              <w:spacing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Werkvorm: presentatie </w:t>
            </w:r>
            <w:r w:rsidR="000962B0">
              <w:rPr>
                <w:rFonts w:asciiTheme="minorHAnsi" w:hAnsiTheme="minorHAnsi" w:cstheme="minorHAnsi"/>
                <w:szCs w:val="22"/>
                <w:lang w:eastAsia="en-US"/>
              </w:rPr>
              <w:t xml:space="preserve">schrijfwijzer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en groepsinventarisatie</w:t>
            </w:r>
          </w:p>
        </w:tc>
        <w:tc>
          <w:tcPr>
            <w:tcW w:w="1057" w:type="pct"/>
            <w:vMerge/>
          </w:tcPr>
          <w:p w:rsidR="007D1E89" w:rsidRDefault="007D1E89" w:rsidP="00845ACA">
            <w:pPr>
              <w:spacing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7D1E89" w:rsidRPr="00817ADE" w:rsidTr="000962B0">
        <w:trPr>
          <w:trHeight w:val="334"/>
        </w:trPr>
        <w:tc>
          <w:tcPr>
            <w:tcW w:w="525" w:type="pct"/>
          </w:tcPr>
          <w:p w:rsidR="007D1E89" w:rsidRPr="00817ADE" w:rsidRDefault="007D1E89" w:rsidP="000962B0">
            <w:pPr>
              <w:spacing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14.30</w:t>
            </w:r>
            <w:r w:rsidRPr="00817ADE"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</w:p>
        </w:tc>
        <w:tc>
          <w:tcPr>
            <w:tcW w:w="983" w:type="pct"/>
          </w:tcPr>
          <w:p w:rsidR="007D1E89" w:rsidRPr="00817ADE" w:rsidRDefault="007D1E89" w:rsidP="000962B0">
            <w:pPr>
              <w:spacing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6E39DF">
              <w:rPr>
                <w:rFonts w:ascii="Calibri" w:hAnsi="Calibri" w:cs="Calibri"/>
                <w:szCs w:val="22"/>
                <w:lang w:eastAsia="en-US"/>
              </w:rPr>
              <w:t>Pauze</w:t>
            </w:r>
          </w:p>
        </w:tc>
        <w:tc>
          <w:tcPr>
            <w:tcW w:w="2435" w:type="pct"/>
          </w:tcPr>
          <w:p w:rsidR="007D1E89" w:rsidRDefault="007D1E89" w:rsidP="00845ACA">
            <w:pPr>
              <w:spacing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057" w:type="pct"/>
            <w:vMerge/>
          </w:tcPr>
          <w:p w:rsidR="007D1E89" w:rsidRDefault="007D1E89" w:rsidP="00845ACA">
            <w:pPr>
              <w:spacing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7D1E89" w:rsidRPr="00817ADE" w:rsidTr="000962B0">
        <w:trPr>
          <w:trHeight w:val="57"/>
        </w:trPr>
        <w:tc>
          <w:tcPr>
            <w:tcW w:w="525" w:type="pct"/>
          </w:tcPr>
          <w:p w:rsidR="007D1E89" w:rsidRPr="00817ADE" w:rsidRDefault="007D1E89" w:rsidP="00845ACA">
            <w:pPr>
              <w:spacing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6E39DF">
              <w:rPr>
                <w:rFonts w:ascii="Calibri" w:hAnsi="Calibri" w:cs="Calibri"/>
                <w:szCs w:val="22"/>
                <w:lang w:eastAsia="en-US"/>
              </w:rPr>
              <w:t>1</w:t>
            </w:r>
            <w:r>
              <w:rPr>
                <w:rFonts w:ascii="Calibri" w:hAnsi="Calibri" w:cs="Calibri"/>
                <w:szCs w:val="22"/>
                <w:lang w:eastAsia="en-US"/>
              </w:rPr>
              <w:t>5</w:t>
            </w:r>
            <w:r w:rsidRPr="006E39DF">
              <w:rPr>
                <w:rFonts w:ascii="Calibri" w:hAnsi="Calibri" w:cs="Calibri"/>
                <w:szCs w:val="22"/>
                <w:lang w:eastAsia="en-US"/>
              </w:rPr>
              <w:t>.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00 </w:t>
            </w:r>
          </w:p>
        </w:tc>
        <w:tc>
          <w:tcPr>
            <w:tcW w:w="983" w:type="pct"/>
          </w:tcPr>
          <w:p w:rsidR="007D1E89" w:rsidRDefault="000962B0" w:rsidP="00845ACA">
            <w:pPr>
              <w:spacing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Analyse drie cases </w:t>
            </w:r>
          </w:p>
          <w:p w:rsidR="007D1E89" w:rsidRPr="00817ADE" w:rsidRDefault="007D1E89" w:rsidP="00845ACA">
            <w:pPr>
              <w:spacing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2435" w:type="pct"/>
          </w:tcPr>
          <w:p w:rsidR="007D1E89" w:rsidRDefault="007D1E89" w:rsidP="00845ACA">
            <w:pPr>
              <w:spacing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Doel: </w:t>
            </w:r>
            <w:r w:rsidR="000962B0">
              <w:rPr>
                <w:rFonts w:asciiTheme="minorHAnsi" w:hAnsiTheme="minorHAnsi" w:cstheme="minorHAnsi"/>
                <w:szCs w:val="22"/>
                <w:lang w:eastAsia="en-US"/>
              </w:rPr>
              <w:t>Probleeminventarisatie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</w:p>
          <w:p w:rsidR="007D1E89" w:rsidRDefault="007D1E89" w:rsidP="00845ACA">
            <w:pPr>
              <w:spacing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Inhoud: </w:t>
            </w:r>
            <w:r w:rsidR="000962B0">
              <w:rPr>
                <w:rFonts w:asciiTheme="minorHAnsi" w:hAnsiTheme="minorHAnsi" w:cstheme="minorHAnsi"/>
                <w:szCs w:val="22"/>
                <w:lang w:eastAsia="en-US"/>
              </w:rPr>
              <w:t>analyse via format</w:t>
            </w:r>
          </w:p>
          <w:p w:rsidR="007D1E89" w:rsidRPr="006E39DF" w:rsidRDefault="007D1E89" w:rsidP="00845ACA">
            <w:pPr>
              <w:spacing w:line="240" w:lineRule="auto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Werkvorm: groepsbespreking</w:t>
            </w:r>
          </w:p>
        </w:tc>
        <w:tc>
          <w:tcPr>
            <w:tcW w:w="1057" w:type="pct"/>
            <w:vMerge/>
          </w:tcPr>
          <w:p w:rsidR="007D1E89" w:rsidRPr="006E39DF" w:rsidRDefault="007D1E89" w:rsidP="00845ACA">
            <w:pPr>
              <w:spacing w:line="240" w:lineRule="auto"/>
              <w:rPr>
                <w:rFonts w:ascii="Calibri" w:hAnsi="Calibri" w:cs="Calibri"/>
                <w:szCs w:val="22"/>
                <w:lang w:eastAsia="en-US"/>
              </w:rPr>
            </w:pPr>
          </w:p>
        </w:tc>
      </w:tr>
      <w:tr w:rsidR="000962B0" w:rsidRPr="00817ADE" w:rsidTr="000962B0">
        <w:trPr>
          <w:trHeight w:val="57"/>
        </w:trPr>
        <w:tc>
          <w:tcPr>
            <w:tcW w:w="525" w:type="pct"/>
          </w:tcPr>
          <w:p w:rsidR="000962B0" w:rsidRPr="00817ADE" w:rsidRDefault="000962B0" w:rsidP="00845ACA">
            <w:pPr>
              <w:spacing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16.45</w:t>
            </w:r>
          </w:p>
        </w:tc>
        <w:tc>
          <w:tcPr>
            <w:tcW w:w="983" w:type="pct"/>
          </w:tcPr>
          <w:p w:rsidR="000962B0" w:rsidRDefault="000962B0" w:rsidP="00845ACA">
            <w:pPr>
              <w:spacing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Evaluatie</w:t>
            </w:r>
          </w:p>
        </w:tc>
        <w:tc>
          <w:tcPr>
            <w:tcW w:w="2435" w:type="pct"/>
          </w:tcPr>
          <w:p w:rsidR="000962B0" w:rsidRDefault="000962B0" w:rsidP="00845ACA">
            <w:pPr>
              <w:spacing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Algemeen</w:t>
            </w:r>
          </w:p>
        </w:tc>
        <w:tc>
          <w:tcPr>
            <w:tcW w:w="1057" w:type="pct"/>
            <w:vMerge/>
          </w:tcPr>
          <w:p w:rsidR="000962B0" w:rsidRDefault="000962B0" w:rsidP="00845ACA">
            <w:pPr>
              <w:spacing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7D1E89" w:rsidRPr="00817ADE" w:rsidTr="000962B0">
        <w:trPr>
          <w:trHeight w:val="57"/>
        </w:trPr>
        <w:tc>
          <w:tcPr>
            <w:tcW w:w="525" w:type="pct"/>
          </w:tcPr>
          <w:p w:rsidR="007D1E89" w:rsidRPr="00817ADE" w:rsidRDefault="007D1E89" w:rsidP="00845ACA">
            <w:pPr>
              <w:spacing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817ADE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  <w:r w:rsidRPr="00817ADE">
              <w:rPr>
                <w:rFonts w:asciiTheme="minorHAnsi" w:hAnsiTheme="minorHAnsi" w:cstheme="minorHAnsi"/>
                <w:szCs w:val="22"/>
                <w:lang w:eastAsia="en-US"/>
              </w:rPr>
              <w:t>.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00</w:t>
            </w:r>
            <w:r w:rsidR="000962B0"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</w:p>
        </w:tc>
        <w:tc>
          <w:tcPr>
            <w:tcW w:w="983" w:type="pct"/>
          </w:tcPr>
          <w:p w:rsidR="007D1E89" w:rsidRPr="00817ADE" w:rsidRDefault="007D1E89" w:rsidP="00845ACA">
            <w:pPr>
              <w:spacing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Einde sessie</w:t>
            </w:r>
            <w:r w:rsidRPr="00817ADE"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</w:p>
          <w:p w:rsidR="007D1E89" w:rsidRPr="00817ADE" w:rsidRDefault="007D1E89" w:rsidP="00845ACA">
            <w:pPr>
              <w:spacing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2435" w:type="pct"/>
          </w:tcPr>
          <w:p w:rsidR="007D1E89" w:rsidRDefault="007D1E89" w:rsidP="00845ACA">
            <w:pPr>
              <w:spacing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057" w:type="pct"/>
            <w:vMerge/>
          </w:tcPr>
          <w:p w:rsidR="007D1E89" w:rsidRDefault="007D1E89" w:rsidP="00845ACA">
            <w:pPr>
              <w:spacing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</w:tbl>
    <w:p w:rsidR="007D1E89" w:rsidRDefault="007D1E89" w:rsidP="00E9462E">
      <w:pPr>
        <w:rPr>
          <w:rFonts w:asciiTheme="minorHAnsi" w:hAnsiTheme="minorHAnsi" w:cstheme="minorHAnsi"/>
          <w:b/>
          <w:caps/>
          <w:szCs w:val="22"/>
        </w:rPr>
      </w:pPr>
    </w:p>
    <w:p w:rsidR="000962B0" w:rsidRDefault="000962B0">
      <w:pPr>
        <w:spacing w:after="200" w:line="276" w:lineRule="auto"/>
        <w:rPr>
          <w:rFonts w:ascii="Calibri" w:hAnsi="Calibri" w:cs="Aharoni"/>
          <w:b/>
          <w:caps/>
          <w:sz w:val="24"/>
          <w:lang w:eastAsia="en-US" w:bidi="he-IL"/>
        </w:rPr>
      </w:pPr>
      <w:r>
        <w:rPr>
          <w:rFonts w:ascii="Calibri" w:hAnsi="Calibri" w:cs="Aharoni"/>
          <w:b/>
          <w:caps/>
          <w:sz w:val="24"/>
          <w:lang w:eastAsia="en-US" w:bidi="he-IL"/>
        </w:rPr>
        <w:br w:type="page"/>
      </w:r>
    </w:p>
    <w:p w:rsidR="00E9462E" w:rsidRPr="00A86316" w:rsidRDefault="00E9462E" w:rsidP="00E9462E">
      <w:pPr>
        <w:spacing w:line="240" w:lineRule="auto"/>
        <w:rPr>
          <w:rFonts w:ascii="Calibri" w:hAnsi="Calibri" w:cs="Aharoni"/>
          <w:b/>
          <w:caps/>
          <w:sz w:val="24"/>
          <w:lang w:eastAsia="en-US" w:bidi="he-IL"/>
        </w:rPr>
      </w:pPr>
      <w:r w:rsidRPr="00A86316">
        <w:rPr>
          <w:rFonts w:ascii="Calibri" w:hAnsi="Calibri" w:cs="Aharoni"/>
          <w:b/>
          <w:caps/>
          <w:sz w:val="24"/>
          <w:lang w:eastAsia="en-US" w:bidi="he-IL"/>
        </w:rPr>
        <w:lastRenderedPageBreak/>
        <w:t>Documenten training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8691"/>
      </w:tblGrid>
      <w:tr w:rsidR="00E9462E" w:rsidRPr="007949E1" w:rsidTr="00DF1BB6">
        <w:trPr>
          <w:trHeight w:val="354"/>
        </w:trPr>
        <w:tc>
          <w:tcPr>
            <w:tcW w:w="322" w:type="pct"/>
          </w:tcPr>
          <w:p w:rsidR="00E9462E" w:rsidRPr="00A86316" w:rsidRDefault="00E9462E" w:rsidP="00E9462E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/>
                <w:szCs w:val="22"/>
                <w:lang w:val="en-CA" w:eastAsia="en-US"/>
              </w:rPr>
            </w:pPr>
          </w:p>
        </w:tc>
        <w:tc>
          <w:tcPr>
            <w:tcW w:w="4678" w:type="pct"/>
          </w:tcPr>
          <w:p w:rsidR="00E9462E" w:rsidRPr="00A86316" w:rsidRDefault="00E9462E" w:rsidP="00DF1BB6">
            <w:pPr>
              <w:spacing w:line="240" w:lineRule="auto"/>
              <w:rPr>
                <w:rFonts w:ascii="Calibri" w:hAnsi="Calibri"/>
                <w:szCs w:val="22"/>
                <w:lang w:eastAsia="en-US"/>
              </w:rPr>
            </w:pPr>
            <w:r w:rsidRPr="00A86316">
              <w:rPr>
                <w:rFonts w:ascii="Calibri" w:hAnsi="Calibri"/>
                <w:szCs w:val="22"/>
                <w:lang w:eastAsia="en-US"/>
              </w:rPr>
              <w:t>Beoordelings- en codeformulieren VERA-2R</w:t>
            </w:r>
          </w:p>
        </w:tc>
      </w:tr>
      <w:tr w:rsidR="00E9462E" w:rsidRPr="007949E1" w:rsidTr="00DF1BB6">
        <w:tc>
          <w:tcPr>
            <w:tcW w:w="322" w:type="pct"/>
          </w:tcPr>
          <w:p w:rsidR="00E9462E" w:rsidRPr="007949E1" w:rsidRDefault="00E9462E" w:rsidP="00E9462E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/>
                <w:szCs w:val="22"/>
                <w:lang w:eastAsia="en-US"/>
              </w:rPr>
            </w:pPr>
          </w:p>
        </w:tc>
        <w:tc>
          <w:tcPr>
            <w:tcW w:w="4678" w:type="pct"/>
          </w:tcPr>
          <w:p w:rsidR="00E9462E" w:rsidRPr="007949E1" w:rsidRDefault="00E9462E" w:rsidP="00DF1BB6">
            <w:pPr>
              <w:spacing w:line="240" w:lineRule="auto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Format, schrijfwijzer en appendix</w:t>
            </w:r>
          </w:p>
        </w:tc>
      </w:tr>
      <w:tr w:rsidR="00E9462E" w:rsidRPr="007949E1" w:rsidTr="00DF1BB6">
        <w:trPr>
          <w:trHeight w:val="273"/>
        </w:trPr>
        <w:tc>
          <w:tcPr>
            <w:tcW w:w="322" w:type="pct"/>
          </w:tcPr>
          <w:p w:rsidR="00E9462E" w:rsidRPr="00A86316" w:rsidRDefault="00E9462E" w:rsidP="00E9462E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/>
                <w:szCs w:val="22"/>
                <w:lang w:eastAsia="en-US"/>
              </w:rPr>
            </w:pPr>
          </w:p>
        </w:tc>
        <w:tc>
          <w:tcPr>
            <w:tcW w:w="4678" w:type="pct"/>
          </w:tcPr>
          <w:p w:rsidR="00E9462E" w:rsidRPr="00A86316" w:rsidRDefault="00E9462E" w:rsidP="00DF1BB6">
            <w:pPr>
              <w:spacing w:line="240" w:lineRule="auto"/>
              <w:rPr>
                <w:rFonts w:ascii="Calibri" w:hAnsi="Calibri"/>
                <w:szCs w:val="22"/>
                <w:lang w:eastAsia="en-US"/>
              </w:rPr>
            </w:pPr>
            <w:r w:rsidRPr="00A86316">
              <w:rPr>
                <w:rFonts w:ascii="Calibri" w:hAnsi="Calibri"/>
                <w:szCs w:val="22"/>
                <w:lang w:eastAsia="en-US"/>
              </w:rPr>
              <w:t xml:space="preserve">Artikelen (via mail): </w:t>
            </w:r>
          </w:p>
          <w:p w:rsidR="00E9462E" w:rsidRPr="00A86316" w:rsidRDefault="00E9462E" w:rsidP="00E946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alibri" w:hAnsi="Calibri" w:cs="MyriadPro-Regular"/>
                <w:color w:val="181716"/>
                <w:szCs w:val="22"/>
                <w:lang w:val="en-US" w:eastAsia="en-US"/>
              </w:rPr>
            </w:pPr>
            <w:r w:rsidRPr="00A86316">
              <w:rPr>
                <w:rFonts w:ascii="Calibri" w:hAnsi="Calibri" w:cs="MyriadPro-Regular"/>
                <w:color w:val="181716"/>
                <w:szCs w:val="22"/>
                <w:lang w:val="en-US" w:eastAsia="en-US"/>
              </w:rPr>
              <w:t xml:space="preserve">Borum, R. (2014). Behavioral Problems and Disorders among Radicals in Police Files. </w:t>
            </w:r>
            <w:r w:rsidRPr="00A86316">
              <w:rPr>
                <w:rFonts w:ascii="Calibri" w:hAnsi="Calibri" w:cs="MyriadPro-Regular"/>
                <w:i/>
                <w:color w:val="181716"/>
                <w:szCs w:val="22"/>
                <w:lang w:val="en-US" w:eastAsia="en-US"/>
              </w:rPr>
              <w:t>Behav. Sci. Law 32</w:t>
            </w:r>
            <w:r w:rsidRPr="00A86316">
              <w:rPr>
                <w:rFonts w:ascii="Calibri" w:hAnsi="Calibri" w:cs="MyriadPro-Regular"/>
                <w:color w:val="181716"/>
                <w:szCs w:val="22"/>
                <w:lang w:val="en-US" w:eastAsia="en-US"/>
              </w:rPr>
              <w:t>, 286–305</w:t>
            </w:r>
          </w:p>
          <w:p w:rsidR="00E9462E" w:rsidRDefault="00E9462E" w:rsidP="00E946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alibri" w:hAnsi="Calibri" w:cs="MyriadPro-Regular"/>
                <w:color w:val="181716"/>
                <w:szCs w:val="22"/>
                <w:lang w:val="en-US" w:eastAsia="en-US"/>
              </w:rPr>
            </w:pPr>
            <w:r w:rsidRPr="007949E1">
              <w:rPr>
                <w:rFonts w:ascii="Calibri" w:hAnsi="Calibri" w:cs="MyriadPro-Regular"/>
                <w:color w:val="181716"/>
                <w:szCs w:val="22"/>
                <w:lang w:val="en-US" w:eastAsia="en-US"/>
              </w:rPr>
              <w:t>Gill</w:t>
            </w:r>
            <w:r>
              <w:rPr>
                <w:rFonts w:ascii="Calibri" w:hAnsi="Calibri" w:cs="MyriadPro-Regular"/>
                <w:color w:val="181716"/>
                <w:szCs w:val="22"/>
                <w:lang w:val="en-US" w:eastAsia="en-US"/>
              </w:rPr>
              <w:t xml:space="preserve">, P. </w:t>
            </w:r>
            <w:r w:rsidRPr="007949E1">
              <w:rPr>
                <w:rFonts w:ascii="Calibri" w:hAnsi="Calibri" w:cs="MyriadPro-Regular"/>
                <w:color w:val="181716"/>
                <w:szCs w:val="22"/>
                <w:lang w:val="en-US" w:eastAsia="en-US"/>
              </w:rPr>
              <w:t xml:space="preserve">et al (2014). Bombing Alone: Tracing the Motivations and Antecedent Behaviors of Lone-Actor Terrorists </w:t>
            </w:r>
            <w:r w:rsidRPr="007949E1">
              <w:rPr>
                <w:rFonts w:ascii="Calibri" w:hAnsi="Calibri" w:cs="MyriadPro-Regular"/>
                <w:i/>
                <w:color w:val="181716"/>
                <w:szCs w:val="22"/>
                <w:lang w:val="en-US" w:eastAsia="en-US"/>
              </w:rPr>
              <w:t>J Forensic Sci, 59</w:t>
            </w:r>
            <w:r w:rsidRPr="007949E1">
              <w:rPr>
                <w:rFonts w:ascii="Calibri" w:hAnsi="Calibri" w:cs="MyriadPro-Regular"/>
                <w:color w:val="181716"/>
                <w:szCs w:val="22"/>
                <w:lang w:val="en-US" w:eastAsia="en-US"/>
              </w:rPr>
              <w:t xml:space="preserve">(2), 425-35 </w:t>
            </w:r>
          </w:p>
          <w:p w:rsidR="007D1E89" w:rsidRPr="007D1E89" w:rsidRDefault="007D1E89" w:rsidP="007D1E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alibri" w:hAnsi="Calibri" w:cs="MyriadPro-Regular"/>
                <w:color w:val="181716"/>
                <w:szCs w:val="22"/>
                <w:lang w:val="en-US" w:eastAsia="en-US"/>
              </w:rPr>
            </w:pPr>
            <w:r w:rsidRPr="007D1E89">
              <w:rPr>
                <w:rFonts w:ascii="Calibri" w:hAnsi="Calibri" w:cs="MyriadPro-Regular"/>
                <w:color w:val="181716"/>
                <w:szCs w:val="22"/>
                <w:lang w:eastAsia="en-US"/>
              </w:rPr>
              <w:t>Horgan, J.G., Taylor, M., Bloom, M., &amp; Winter, C. (2017) From Cubs to Lions: A Six Stage Model of Child Socialization into the Islamic State</w:t>
            </w:r>
            <w:r w:rsidRPr="007D1E89">
              <w:rPr>
                <w:rFonts w:ascii="Calibri" w:hAnsi="Calibri" w:cs="MyriadPro-Regular"/>
                <w:i/>
                <w:color w:val="181716"/>
                <w:szCs w:val="22"/>
                <w:lang w:eastAsia="en-US"/>
              </w:rPr>
              <w:t>. Studies in Conflict &amp; Terrorism, 40(7</w:t>
            </w:r>
            <w:r w:rsidRPr="007D1E89">
              <w:rPr>
                <w:rFonts w:ascii="Calibri" w:hAnsi="Calibri" w:cs="MyriadPro-Regular"/>
                <w:color w:val="181716"/>
                <w:szCs w:val="22"/>
                <w:lang w:eastAsia="en-US"/>
              </w:rPr>
              <w:t>), 645-664</w:t>
            </w:r>
          </w:p>
          <w:p w:rsidR="00E9462E" w:rsidRPr="00A86316" w:rsidRDefault="007D1E89" w:rsidP="007D1E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alibri" w:hAnsi="Calibri" w:cs="MyriadPro-Regular"/>
                <w:color w:val="181716"/>
                <w:szCs w:val="22"/>
                <w:lang w:val="en-US" w:eastAsia="en-US"/>
              </w:rPr>
            </w:pPr>
            <w:r w:rsidRPr="007D1E89">
              <w:rPr>
                <w:rFonts w:ascii="Calibri" w:hAnsi="Calibri"/>
                <w:szCs w:val="22"/>
                <w:lang w:val="en-GB" w:eastAsia="en-US"/>
              </w:rPr>
              <w:t>McCauley</w:t>
            </w:r>
            <w:r>
              <w:rPr>
                <w:rFonts w:ascii="Calibri" w:hAnsi="Calibri"/>
                <w:szCs w:val="22"/>
                <w:lang w:val="en-GB" w:eastAsia="en-US"/>
              </w:rPr>
              <w:t xml:space="preserve">, C., &amp; </w:t>
            </w:r>
            <w:r w:rsidRPr="007D1E89">
              <w:rPr>
                <w:rFonts w:ascii="Calibri" w:hAnsi="Calibri"/>
                <w:szCs w:val="22"/>
                <w:lang w:val="en-GB" w:eastAsia="en-US"/>
              </w:rPr>
              <w:t xml:space="preserve"> Moskalenko</w:t>
            </w:r>
            <w:r>
              <w:rPr>
                <w:rFonts w:ascii="Calibri" w:hAnsi="Calibri"/>
                <w:szCs w:val="22"/>
                <w:lang w:val="en-GB" w:eastAsia="en-US"/>
              </w:rPr>
              <w:t>, S. (2017)</w:t>
            </w:r>
            <w:r w:rsidRPr="007D1E89">
              <w:rPr>
                <w:rFonts w:ascii="Calibri" w:hAnsi="Calibri"/>
                <w:szCs w:val="22"/>
                <w:lang w:val="en-GB" w:eastAsia="en-US"/>
              </w:rPr>
              <w:t xml:space="preserve"> Understanding Political Radical</w:t>
            </w:r>
            <w:r>
              <w:rPr>
                <w:rFonts w:ascii="Calibri" w:hAnsi="Calibri"/>
                <w:szCs w:val="22"/>
                <w:lang w:val="en-GB" w:eastAsia="en-US"/>
              </w:rPr>
              <w:t xml:space="preserve">ization: The Two-Pyramids Model. </w:t>
            </w:r>
            <w:r w:rsidRPr="007D1E89">
              <w:rPr>
                <w:rFonts w:ascii="Calibri" w:hAnsi="Calibri" w:cs="MyriadPro-Regular"/>
                <w:i/>
                <w:color w:val="181716"/>
                <w:szCs w:val="22"/>
                <w:lang w:val="en-US" w:eastAsia="en-US"/>
              </w:rPr>
              <w:t>American Psychologist, 72(3)</w:t>
            </w:r>
            <w:r w:rsidRPr="002B259F">
              <w:rPr>
                <w:rFonts w:ascii="Calibri" w:hAnsi="Calibri" w:cs="MyriadPro-Regular"/>
                <w:color w:val="181716"/>
                <w:szCs w:val="22"/>
                <w:lang w:val="en-US" w:eastAsia="en-US"/>
              </w:rPr>
              <w:t>, 2</w:t>
            </w:r>
            <w:r>
              <w:rPr>
                <w:rFonts w:ascii="Calibri" w:hAnsi="Calibri" w:cs="MyriadPro-Regular"/>
                <w:color w:val="181716"/>
                <w:szCs w:val="22"/>
                <w:lang w:val="en-US" w:eastAsia="en-US"/>
              </w:rPr>
              <w:t>05</w:t>
            </w:r>
            <w:r w:rsidRPr="002B259F">
              <w:rPr>
                <w:rFonts w:ascii="Calibri" w:hAnsi="Calibri" w:cs="MyriadPro-Regular"/>
                <w:color w:val="181716"/>
                <w:szCs w:val="22"/>
                <w:lang w:val="en-US" w:eastAsia="en-US"/>
              </w:rPr>
              <w:t>-2</w:t>
            </w:r>
            <w:r>
              <w:rPr>
                <w:rFonts w:ascii="Calibri" w:hAnsi="Calibri" w:cs="MyriadPro-Regular"/>
                <w:color w:val="181716"/>
                <w:szCs w:val="22"/>
                <w:lang w:val="en-US" w:eastAsia="en-US"/>
              </w:rPr>
              <w:t>16</w:t>
            </w:r>
            <w:r w:rsidR="00E9462E" w:rsidRPr="00A86316">
              <w:rPr>
                <w:rFonts w:ascii="Calibri" w:hAnsi="Calibri" w:cs="MyriadPro-Regular"/>
                <w:color w:val="181716"/>
                <w:szCs w:val="22"/>
                <w:lang w:val="en-US" w:eastAsia="en-US"/>
              </w:rPr>
              <w:t xml:space="preserve">Monahan, J. (2012). The Individual Risk Assessment of Terrorism. </w:t>
            </w:r>
            <w:r w:rsidR="00E9462E" w:rsidRPr="00A86316">
              <w:rPr>
                <w:rFonts w:ascii="Calibri" w:hAnsi="Calibri" w:cs="MyriadPro-Regular"/>
                <w:i/>
                <w:color w:val="181716"/>
                <w:szCs w:val="22"/>
                <w:lang w:val="en-US" w:eastAsia="en-US"/>
              </w:rPr>
              <w:t>Psychology, Public Policy, and Law, 18</w:t>
            </w:r>
            <w:r w:rsidR="00E9462E" w:rsidRPr="00A86316">
              <w:rPr>
                <w:rFonts w:ascii="Calibri" w:hAnsi="Calibri" w:cs="MyriadPro-Regular"/>
                <w:color w:val="181716"/>
                <w:szCs w:val="22"/>
                <w:lang w:val="en-US" w:eastAsia="en-US"/>
              </w:rPr>
              <w:t xml:space="preserve">(2), 167-205. doi:10.1037/a0025792 </w:t>
            </w:r>
          </w:p>
          <w:p w:rsidR="002B259F" w:rsidRDefault="002B259F" w:rsidP="002B25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alibri" w:hAnsi="Calibri" w:cs="MyriadPro-Regular"/>
                <w:color w:val="181716"/>
                <w:szCs w:val="22"/>
                <w:lang w:val="en-US" w:eastAsia="en-US"/>
              </w:rPr>
            </w:pPr>
            <w:r w:rsidRPr="002B259F">
              <w:rPr>
                <w:rFonts w:ascii="Calibri" w:hAnsi="Calibri" w:cs="MyriadPro-Regular"/>
                <w:color w:val="181716"/>
                <w:szCs w:val="22"/>
                <w:lang w:val="en-US" w:eastAsia="en-US"/>
              </w:rPr>
              <w:t xml:space="preserve">Gill, Paul &amp; Corner, Emily (2017). There and back again: The study of mental disorder and terrorist involvement. </w:t>
            </w:r>
            <w:r w:rsidRPr="007D1E89">
              <w:rPr>
                <w:rFonts w:ascii="Calibri" w:hAnsi="Calibri" w:cs="MyriadPro-Regular"/>
                <w:i/>
                <w:color w:val="181716"/>
                <w:szCs w:val="22"/>
                <w:lang w:val="en-US" w:eastAsia="en-US"/>
              </w:rPr>
              <w:t>American Psychologist, 72</w:t>
            </w:r>
            <w:r w:rsidR="007D1E89" w:rsidRPr="007D1E89">
              <w:rPr>
                <w:rFonts w:ascii="Calibri" w:hAnsi="Calibri" w:cs="MyriadPro-Regular"/>
                <w:i/>
                <w:color w:val="181716"/>
                <w:szCs w:val="22"/>
                <w:lang w:val="en-US" w:eastAsia="en-US"/>
              </w:rPr>
              <w:t>(</w:t>
            </w:r>
            <w:r w:rsidRPr="007D1E89">
              <w:rPr>
                <w:rFonts w:ascii="Calibri" w:hAnsi="Calibri" w:cs="MyriadPro-Regular"/>
                <w:i/>
                <w:color w:val="181716"/>
                <w:szCs w:val="22"/>
                <w:lang w:val="en-US" w:eastAsia="en-US"/>
              </w:rPr>
              <w:t>3</w:t>
            </w:r>
            <w:r w:rsidR="007D1E89" w:rsidRPr="007D1E89">
              <w:rPr>
                <w:rFonts w:ascii="Calibri" w:hAnsi="Calibri" w:cs="MyriadPro-Regular"/>
                <w:i/>
                <w:color w:val="181716"/>
                <w:szCs w:val="22"/>
                <w:lang w:val="en-US" w:eastAsia="en-US"/>
              </w:rPr>
              <w:t>)</w:t>
            </w:r>
            <w:r w:rsidRPr="007D1E89">
              <w:rPr>
                <w:rFonts w:ascii="Calibri" w:hAnsi="Calibri" w:cs="MyriadPro-Regular"/>
                <w:i/>
                <w:color w:val="181716"/>
                <w:szCs w:val="22"/>
                <w:lang w:val="en-US" w:eastAsia="en-US"/>
              </w:rPr>
              <w:t>,</w:t>
            </w:r>
            <w:r w:rsidRPr="002B259F">
              <w:rPr>
                <w:rFonts w:ascii="Calibri" w:hAnsi="Calibri" w:cs="MyriadPro-Regular"/>
                <w:color w:val="181716"/>
                <w:szCs w:val="22"/>
                <w:lang w:val="en-US" w:eastAsia="en-US"/>
              </w:rPr>
              <w:t xml:space="preserve"> 231-241</w:t>
            </w:r>
          </w:p>
          <w:p w:rsidR="00E9462E" w:rsidRPr="007D1E89" w:rsidRDefault="00E9462E" w:rsidP="007D1E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alibri" w:hAnsi="Calibri" w:cs="MyriadPro-Regular"/>
                <w:color w:val="181716"/>
                <w:szCs w:val="22"/>
                <w:lang w:val="en-US" w:eastAsia="en-US"/>
              </w:rPr>
            </w:pPr>
            <w:r w:rsidRPr="00A86316">
              <w:rPr>
                <w:rFonts w:ascii="Calibri" w:hAnsi="Calibri" w:cs="MyriadPro-Regular"/>
                <w:color w:val="181716"/>
                <w:szCs w:val="22"/>
                <w:lang w:val="en-US" w:eastAsia="en-US"/>
              </w:rPr>
              <w:t xml:space="preserve">Schmid, A.P. (2014. </w:t>
            </w:r>
            <w:r w:rsidRPr="00A86316">
              <w:rPr>
                <w:rFonts w:ascii="Calibri" w:hAnsi="Calibri" w:cs="MyriadPro-Regular"/>
                <w:i/>
                <w:color w:val="181716"/>
                <w:szCs w:val="22"/>
                <w:lang w:val="en-US" w:eastAsia="en-US"/>
              </w:rPr>
              <w:t>Violent and Non-Violent Extremism: Two Sides of the Same Coin?</w:t>
            </w:r>
            <w:r w:rsidRPr="00A86316">
              <w:rPr>
                <w:rFonts w:ascii="Calibri" w:hAnsi="Calibri" w:cs="MyriadPro-Regular"/>
                <w:color w:val="181716"/>
                <w:szCs w:val="22"/>
                <w:lang w:val="en-US" w:eastAsia="en-US"/>
              </w:rPr>
              <w:t xml:space="preserve"> ICCT Research Paper</w:t>
            </w:r>
          </w:p>
        </w:tc>
      </w:tr>
      <w:tr w:rsidR="00E9462E" w:rsidRPr="007949E1" w:rsidTr="00DF1BB6">
        <w:trPr>
          <w:trHeight w:val="405"/>
        </w:trPr>
        <w:tc>
          <w:tcPr>
            <w:tcW w:w="322" w:type="pct"/>
          </w:tcPr>
          <w:p w:rsidR="00E9462E" w:rsidRPr="00A86316" w:rsidRDefault="00E9462E" w:rsidP="00E9462E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/>
                <w:szCs w:val="22"/>
                <w:lang w:eastAsia="en-US"/>
              </w:rPr>
            </w:pPr>
          </w:p>
          <w:p w:rsidR="00E9462E" w:rsidRPr="00A86316" w:rsidRDefault="00E9462E" w:rsidP="00DF1BB6">
            <w:pPr>
              <w:spacing w:line="240" w:lineRule="auto"/>
              <w:ind w:left="1440"/>
              <w:rPr>
                <w:rFonts w:ascii="Calibri" w:hAnsi="Calibri"/>
                <w:szCs w:val="22"/>
                <w:lang w:eastAsia="en-US"/>
              </w:rPr>
            </w:pPr>
          </w:p>
        </w:tc>
        <w:tc>
          <w:tcPr>
            <w:tcW w:w="4678" w:type="pct"/>
          </w:tcPr>
          <w:p w:rsidR="00E9462E" w:rsidRPr="00A86316" w:rsidRDefault="00E9462E" w:rsidP="00DF1BB6">
            <w:pPr>
              <w:spacing w:line="240" w:lineRule="auto"/>
              <w:rPr>
                <w:rFonts w:ascii="Calibri" w:hAnsi="Calibri"/>
                <w:szCs w:val="22"/>
                <w:lang w:eastAsia="en-US"/>
              </w:rPr>
            </w:pPr>
            <w:r w:rsidRPr="00A86316">
              <w:rPr>
                <w:rFonts w:ascii="Calibri" w:hAnsi="Calibri"/>
                <w:szCs w:val="22"/>
                <w:lang w:eastAsia="en-US"/>
              </w:rPr>
              <w:t>Casuïstiek wordt uitgedeeld op de training</w:t>
            </w:r>
          </w:p>
          <w:p w:rsidR="00E9462E" w:rsidRPr="00A86316" w:rsidRDefault="00E9462E" w:rsidP="00DF1BB6">
            <w:pPr>
              <w:spacing w:line="240" w:lineRule="auto"/>
              <w:ind w:left="360"/>
              <w:rPr>
                <w:rFonts w:ascii="Calibri" w:hAnsi="Calibri"/>
                <w:szCs w:val="22"/>
                <w:lang w:eastAsia="en-US"/>
              </w:rPr>
            </w:pPr>
          </w:p>
        </w:tc>
      </w:tr>
    </w:tbl>
    <w:p w:rsidR="00E9462E" w:rsidRPr="00A00079" w:rsidRDefault="00E9462E" w:rsidP="00E9462E">
      <w:pPr>
        <w:spacing w:line="240" w:lineRule="auto"/>
        <w:rPr>
          <w:b/>
        </w:rPr>
      </w:pPr>
      <w:r w:rsidRPr="00A86316">
        <w:rPr>
          <w:rFonts w:ascii="Calibri" w:hAnsi="Calibri"/>
          <w:b/>
          <w:bCs/>
          <w:sz w:val="48"/>
          <w:szCs w:val="32"/>
          <w:lang w:eastAsia="en-US"/>
        </w:rPr>
        <w:t xml:space="preserve"> </w:t>
      </w:r>
    </w:p>
    <w:sectPr w:rsidR="00E9462E" w:rsidRPr="00A00079" w:rsidSect="00B105EF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417" w:right="1417" w:bottom="1417" w:left="1417" w:header="919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E0" w:rsidRDefault="009B5CD0">
      <w:pPr>
        <w:spacing w:line="240" w:lineRule="auto"/>
      </w:pPr>
      <w:r>
        <w:separator/>
      </w:r>
    </w:p>
  </w:endnote>
  <w:endnote w:type="continuationSeparator" w:id="0">
    <w:p w:rsidR="00F701E0" w:rsidRDefault="009B5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opia">
    <w:altName w:val="Corbel"/>
    <w:charset w:val="00"/>
    <w:family w:val="swiss"/>
    <w:pitch w:val="variable"/>
    <w:sig w:usb0="00000001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Beatrix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ago Book">
    <w:altName w:val="Corbel"/>
    <w:charset w:val="00"/>
    <w:family w:val="swiss"/>
    <w:pitch w:val="variable"/>
    <w:sig w:usb0="00000001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8160"/>
    </w:tblGrid>
    <w:tr w:rsidR="00AD2D83" w:rsidRPr="00AD2D83" w:rsidTr="00532444">
      <w:trPr>
        <w:trHeight w:val="238"/>
      </w:trPr>
      <w:tc>
        <w:tcPr>
          <w:tcW w:w="8160" w:type="dxa"/>
          <w:shd w:val="clear" w:color="auto" w:fill="auto"/>
        </w:tcPr>
        <w:p w:rsidR="00AD2D83" w:rsidRPr="00532444" w:rsidRDefault="00E9462E" w:rsidP="00532444">
          <w:pPr>
            <w:pStyle w:val="Voettekst"/>
            <w:widowControl w:val="0"/>
            <w:jc w:val="right"/>
            <w:rPr>
              <w:sz w:val="18"/>
            </w:rPr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 w:rsidR="00891AFA">
            <w:rPr>
              <w:rStyle w:val="Paginanummer"/>
              <w:noProof/>
            </w:rPr>
            <w:t>2</w:t>
          </w:r>
          <w:r>
            <w:rPr>
              <w:rStyle w:val="Paginanummer"/>
            </w:rPr>
            <w:fldChar w:fldCharType="end"/>
          </w:r>
          <w:r>
            <w:rPr>
              <w:rStyle w:val="Paginanummer"/>
            </w:rPr>
            <w:t>/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NUMPAGES </w:instrText>
          </w:r>
          <w:r>
            <w:rPr>
              <w:rStyle w:val="Paginanummer"/>
            </w:rPr>
            <w:fldChar w:fldCharType="separate"/>
          </w:r>
          <w:r w:rsidR="00891AFA">
            <w:rPr>
              <w:rStyle w:val="Paginanummer"/>
              <w:noProof/>
            </w:rPr>
            <w:t>2</w:t>
          </w:r>
          <w:r>
            <w:rPr>
              <w:rStyle w:val="Paginanummer"/>
            </w:rPr>
            <w:fldChar w:fldCharType="end"/>
          </w:r>
        </w:p>
      </w:tc>
    </w:tr>
  </w:tbl>
  <w:p w:rsidR="00FB63A6" w:rsidRPr="00AD2D83" w:rsidRDefault="00891AFA" w:rsidP="00AD2D8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3A6" w:rsidRDefault="00E9462E">
    <w:pPr>
      <w:framePr w:w="1915" w:h="4884" w:hRule="exact" w:hSpace="142" w:wrap="around" w:vAnchor="page" w:hAnchor="page" w:x="566" w:y="10501"/>
      <w:widowControl w:val="0"/>
      <w:spacing w:line="240" w:lineRule="exact"/>
      <w:jc w:val="right"/>
      <w:rPr>
        <w:rFonts w:ascii="Imago Book" w:hAnsi="Imago Book"/>
        <w:sz w:val="17"/>
      </w:rPr>
    </w:pPr>
    <w:bookmarkStart w:id="5" w:name="Berichtkolom"/>
    <w:r>
      <w:rPr>
        <w:rFonts w:ascii="Imago Book" w:hAnsi="Imago Book"/>
        <w:sz w:val="17"/>
      </w:rPr>
      <w:t xml:space="preserve"> </w:t>
    </w:r>
    <w:bookmarkEnd w:id="5"/>
  </w:p>
  <w:p w:rsidR="00FB63A6" w:rsidRDefault="00891AF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E0" w:rsidRDefault="009B5CD0">
      <w:pPr>
        <w:spacing w:line="240" w:lineRule="auto"/>
      </w:pPr>
      <w:r>
        <w:separator/>
      </w:r>
    </w:p>
  </w:footnote>
  <w:footnote w:type="continuationSeparator" w:id="0">
    <w:p w:rsidR="00F701E0" w:rsidRDefault="009B5C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3A6" w:rsidRDefault="00891AFA">
    <w:pPr>
      <w:framePr w:w="6917" w:h="301" w:hRule="exact" w:hSpace="142" w:wrap="around" w:vAnchor="page" w:hAnchor="text" w:y="375"/>
      <w:widowControl w:val="0"/>
      <w:rPr>
        <w:sz w:val="18"/>
      </w:rPr>
    </w:pPr>
  </w:p>
  <w:p w:rsidR="00FB63A6" w:rsidRDefault="00891AF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581"/>
    </w:tblGrid>
    <w:tr w:rsidR="00FB63A6">
      <w:trPr>
        <w:trHeight w:hRule="exact" w:val="238"/>
      </w:trPr>
      <w:tc>
        <w:tcPr>
          <w:tcW w:w="7581" w:type="dxa"/>
        </w:tcPr>
        <w:p w:rsidR="00FB63A6" w:rsidRDefault="00E9462E" w:rsidP="00F65A8D">
          <w:pPr>
            <w:framePr w:w="7581" w:h="1520" w:hRule="exact" w:hSpace="142" w:wrap="around" w:vAnchor="page" w:hAnchor="page" w:x="3119" w:y="431"/>
            <w:widowControl w:val="0"/>
            <w:spacing w:line="240" w:lineRule="exact"/>
            <w:rPr>
              <w:sz w:val="18"/>
            </w:rPr>
          </w:pPr>
          <w:bookmarkStart w:id="1" w:name="Titel1"/>
          <w:r>
            <w:rPr>
              <w:sz w:val="18"/>
            </w:rPr>
            <w:t>Ministerie van Justitie</w:t>
          </w:r>
          <w:bookmarkEnd w:id="1"/>
          <w:r>
            <w:rPr>
              <w:sz w:val="18"/>
            </w:rPr>
            <w:t>/Dienst Justitiële Inrichtingen</w:t>
          </w:r>
        </w:p>
      </w:tc>
    </w:tr>
    <w:tr w:rsidR="00FB63A6">
      <w:trPr>
        <w:trHeight w:hRule="exact" w:val="142"/>
      </w:trPr>
      <w:tc>
        <w:tcPr>
          <w:tcW w:w="7581" w:type="dxa"/>
        </w:tcPr>
        <w:p w:rsidR="00FB63A6" w:rsidRDefault="00891AFA" w:rsidP="00F65A8D">
          <w:pPr>
            <w:framePr w:w="7581" w:h="1520" w:hRule="exact" w:hSpace="142" w:wrap="around" w:vAnchor="page" w:hAnchor="page" w:x="3119" w:y="431"/>
            <w:widowControl w:val="0"/>
            <w:spacing w:line="240" w:lineRule="exact"/>
            <w:rPr>
              <w:sz w:val="24"/>
            </w:rPr>
          </w:pPr>
        </w:p>
      </w:tc>
    </w:tr>
    <w:tr w:rsidR="00FB63A6">
      <w:trPr>
        <w:trHeight w:val="238"/>
      </w:trPr>
      <w:tc>
        <w:tcPr>
          <w:tcW w:w="7581" w:type="dxa"/>
        </w:tcPr>
        <w:p w:rsidR="00FB63A6" w:rsidRDefault="00E9462E" w:rsidP="00F65A8D">
          <w:pPr>
            <w:framePr w:w="7581" w:h="1520" w:hRule="exact" w:hSpace="142" w:wrap="around" w:vAnchor="page" w:hAnchor="page" w:x="3119" w:y="431"/>
            <w:widowControl w:val="0"/>
            <w:spacing w:line="360" w:lineRule="exact"/>
            <w:rPr>
              <w:sz w:val="28"/>
            </w:rPr>
          </w:pPr>
          <w:bookmarkStart w:id="2" w:name="Titel2"/>
          <w:r>
            <w:rPr>
              <w:sz w:val="28"/>
            </w:rPr>
            <w:t>Nederlands Instituut voor Forensische Psychiatrie en Psychologie</w:t>
          </w:r>
          <w:bookmarkEnd w:id="2"/>
        </w:p>
      </w:tc>
    </w:tr>
    <w:tr w:rsidR="00FB63A6">
      <w:trPr>
        <w:trHeight w:hRule="exact" w:val="79"/>
      </w:trPr>
      <w:tc>
        <w:tcPr>
          <w:tcW w:w="7581" w:type="dxa"/>
        </w:tcPr>
        <w:p w:rsidR="00FB63A6" w:rsidRDefault="00891AFA" w:rsidP="00F65A8D">
          <w:pPr>
            <w:framePr w:w="7581" w:h="1520" w:hRule="exact" w:hSpace="142" w:wrap="around" w:vAnchor="page" w:hAnchor="page" w:x="3119" w:y="431"/>
            <w:widowControl w:val="0"/>
            <w:spacing w:line="240" w:lineRule="exact"/>
          </w:pPr>
        </w:p>
      </w:tc>
    </w:tr>
    <w:tr w:rsidR="00FB63A6">
      <w:trPr>
        <w:trHeight w:hRule="exact" w:val="238"/>
      </w:trPr>
      <w:tc>
        <w:tcPr>
          <w:tcW w:w="7581" w:type="dxa"/>
        </w:tcPr>
        <w:p w:rsidR="00FB63A6" w:rsidRDefault="00E9462E" w:rsidP="00F65A8D">
          <w:pPr>
            <w:framePr w:w="7581" w:h="1520" w:hRule="exact" w:hSpace="142" w:wrap="around" w:vAnchor="page" w:hAnchor="page" w:x="3119" w:y="431"/>
            <w:widowControl w:val="0"/>
            <w:spacing w:line="240" w:lineRule="exact"/>
            <w:rPr>
              <w:sz w:val="18"/>
            </w:rPr>
          </w:pPr>
          <w:bookmarkStart w:id="3" w:name="Titel3"/>
          <w:r>
            <w:rPr>
              <w:sz w:val="18"/>
            </w:rPr>
            <w:t xml:space="preserve"> </w:t>
          </w:r>
          <w:bookmarkEnd w:id="3"/>
        </w:p>
      </w:tc>
    </w:tr>
    <w:tr w:rsidR="00FB63A6">
      <w:trPr>
        <w:trHeight w:hRule="exact" w:val="238"/>
      </w:trPr>
      <w:tc>
        <w:tcPr>
          <w:tcW w:w="7581" w:type="dxa"/>
        </w:tcPr>
        <w:p w:rsidR="00FB63A6" w:rsidRDefault="00891AFA" w:rsidP="00F65A8D">
          <w:pPr>
            <w:framePr w:w="7581" w:h="1520" w:hRule="exact" w:hSpace="142" w:wrap="around" w:vAnchor="page" w:hAnchor="page" w:x="3119" w:y="431"/>
            <w:widowControl w:val="0"/>
            <w:spacing w:line="240" w:lineRule="exact"/>
            <w:rPr>
              <w:sz w:val="18"/>
            </w:rPr>
          </w:pPr>
        </w:p>
      </w:tc>
    </w:tr>
  </w:tbl>
  <w:p w:rsidR="00FB63A6" w:rsidRDefault="00891AFA" w:rsidP="00F65A8D">
    <w:pPr>
      <w:framePr w:w="7581" w:h="1520" w:hRule="exact" w:hSpace="142" w:wrap="around" w:vAnchor="page" w:hAnchor="page" w:x="3119" w:y="431"/>
    </w:pPr>
  </w:p>
  <w:p w:rsidR="00FB63A6" w:rsidRPr="00A91EB1" w:rsidRDefault="00E9462E">
    <w:pPr>
      <w:pStyle w:val="Koptekst"/>
      <w:framePr w:w="2306" w:h="2160" w:wrap="around" w:vAnchor="page" w:hAnchor="page" w:x="408" w:y="217"/>
      <w:widowControl w:val="0"/>
      <w:spacing w:line="240" w:lineRule="atLeast"/>
      <w:rPr>
        <w:rFonts w:ascii="Beatrix" w:hAnsi="Beatrix" w:cs="Arial"/>
        <w:noProof/>
        <w:sz w:val="132"/>
      </w:rPr>
    </w:pPr>
    <w:bookmarkStart w:id="4" w:name="Logo"/>
    <w:r>
      <w:rPr>
        <w:rFonts w:ascii="Beatrix" w:hAnsi="Beatrix" w:cs="Arial"/>
        <w:noProof/>
        <w:sz w:val="132"/>
      </w:rPr>
      <w:t></w:t>
    </w:r>
    <w:bookmarkEnd w:id="4"/>
  </w:p>
  <w:p w:rsidR="00FB63A6" w:rsidRDefault="00891AF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14121"/>
    <w:multiLevelType w:val="hybridMultilevel"/>
    <w:tmpl w:val="9C609BE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63238C"/>
    <w:multiLevelType w:val="hybridMultilevel"/>
    <w:tmpl w:val="ED2AF7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2E"/>
    <w:rsid w:val="000962B0"/>
    <w:rsid w:val="002907A1"/>
    <w:rsid w:val="002B259F"/>
    <w:rsid w:val="00361147"/>
    <w:rsid w:val="005F6928"/>
    <w:rsid w:val="007D1E89"/>
    <w:rsid w:val="00891AFA"/>
    <w:rsid w:val="008F373C"/>
    <w:rsid w:val="009B5CD0"/>
    <w:rsid w:val="00E271E5"/>
    <w:rsid w:val="00E9462E"/>
    <w:rsid w:val="00F21DD6"/>
    <w:rsid w:val="00F7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462E"/>
    <w:pPr>
      <w:spacing w:after="0" w:line="310" w:lineRule="exact"/>
    </w:pPr>
    <w:rPr>
      <w:rFonts w:ascii="Utopia" w:eastAsia="Times New Roman" w:hAnsi="Utopia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E9462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9462E"/>
    <w:rPr>
      <w:rFonts w:ascii="Utopia" w:eastAsia="Times New Roman" w:hAnsi="Utopia" w:cs="Times New Roman"/>
      <w:szCs w:val="24"/>
      <w:lang w:eastAsia="nl-NL"/>
    </w:rPr>
  </w:style>
  <w:style w:type="paragraph" w:styleId="Voettekst">
    <w:name w:val="footer"/>
    <w:basedOn w:val="Standaard"/>
    <w:link w:val="VoettekstChar"/>
    <w:rsid w:val="00E9462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9462E"/>
    <w:rPr>
      <w:rFonts w:ascii="Utopia" w:eastAsia="Times New Roman" w:hAnsi="Utopia" w:cs="Times New Roman"/>
      <w:szCs w:val="24"/>
      <w:lang w:eastAsia="nl-NL"/>
    </w:rPr>
  </w:style>
  <w:style w:type="character" w:styleId="Paginanummer">
    <w:name w:val="page number"/>
    <w:rsid w:val="00E9462E"/>
    <w:rPr>
      <w:rFonts w:ascii="Utopia" w:hAnsi="Utopia"/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18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462E"/>
    <w:pPr>
      <w:spacing w:after="0" w:line="310" w:lineRule="exact"/>
    </w:pPr>
    <w:rPr>
      <w:rFonts w:ascii="Utopia" w:eastAsia="Times New Roman" w:hAnsi="Utopia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E9462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9462E"/>
    <w:rPr>
      <w:rFonts w:ascii="Utopia" w:eastAsia="Times New Roman" w:hAnsi="Utopia" w:cs="Times New Roman"/>
      <w:szCs w:val="24"/>
      <w:lang w:eastAsia="nl-NL"/>
    </w:rPr>
  </w:style>
  <w:style w:type="paragraph" w:styleId="Voettekst">
    <w:name w:val="footer"/>
    <w:basedOn w:val="Standaard"/>
    <w:link w:val="VoettekstChar"/>
    <w:rsid w:val="00E9462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9462E"/>
    <w:rPr>
      <w:rFonts w:ascii="Utopia" w:eastAsia="Times New Roman" w:hAnsi="Utopia" w:cs="Times New Roman"/>
      <w:szCs w:val="24"/>
      <w:lang w:eastAsia="nl-NL"/>
    </w:rPr>
  </w:style>
  <w:style w:type="character" w:styleId="Paginanummer">
    <w:name w:val="page number"/>
    <w:rsid w:val="00E9462E"/>
    <w:rPr>
      <w:rFonts w:ascii="Utopia" w:hAnsi="Utopia"/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18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795628A9</Template>
  <TotalTime>0</TotalTime>
  <Pages>2</Pages>
  <Words>264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Balen, van, Josée</dc:creator>
  <cp:lastModifiedBy>Balen, van, Josée</cp:lastModifiedBy>
  <cp:revision>2</cp:revision>
  <dcterms:created xsi:type="dcterms:W3CDTF">2018-03-27T10:48:00Z</dcterms:created>
  <dcterms:modified xsi:type="dcterms:W3CDTF">2018-03-27T10:48:00Z</dcterms:modified>
</cp:coreProperties>
</file>